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A20D" w14:textId="5420B138" w:rsidR="004A1E52" w:rsidRPr="0054662A" w:rsidRDefault="004A1E52" w:rsidP="004A1E52">
      <w:pPr>
        <w:jc w:val="right"/>
        <w:rPr>
          <w:rFonts w:asciiTheme="minorHAnsi" w:hAnsiTheme="minorHAnsi" w:cstheme="minorHAnsi"/>
          <w:i/>
          <w:sz w:val="18"/>
          <w:szCs w:val="18"/>
        </w:rPr>
      </w:pPr>
      <w:bookmarkStart w:id="0" w:name="_GoBack"/>
      <w:bookmarkEnd w:id="0"/>
      <w:r w:rsidRPr="0054662A">
        <w:rPr>
          <w:rFonts w:asciiTheme="minorHAnsi" w:hAnsiTheme="minorHAnsi" w:cstheme="minorHAnsi"/>
          <w:i/>
          <w:sz w:val="18"/>
          <w:szCs w:val="18"/>
        </w:rPr>
        <w:t xml:space="preserve">Załącznik nr </w:t>
      </w:r>
      <w:r w:rsidR="00C12B68" w:rsidRPr="0054662A">
        <w:rPr>
          <w:rFonts w:asciiTheme="minorHAnsi" w:hAnsiTheme="minorHAnsi" w:cstheme="minorHAnsi"/>
          <w:i/>
          <w:sz w:val="18"/>
          <w:szCs w:val="18"/>
        </w:rPr>
        <w:t>17</w:t>
      </w:r>
      <w:r w:rsidRPr="0054662A">
        <w:rPr>
          <w:rFonts w:asciiTheme="minorHAnsi" w:hAnsiTheme="minorHAnsi" w:cstheme="minorHAnsi"/>
          <w:i/>
          <w:sz w:val="18"/>
          <w:szCs w:val="18"/>
        </w:rPr>
        <w:t xml:space="preserve"> do Regulaminu Funduszu Pożyczka Płynnościowa POIR </w:t>
      </w:r>
    </w:p>
    <w:p w14:paraId="1F6C3719" w14:textId="77777777" w:rsidR="00273273" w:rsidRDefault="00273273" w:rsidP="00273273">
      <w:pPr>
        <w:jc w:val="center"/>
        <w:rPr>
          <w:rStyle w:val="fontstyle21"/>
          <w:rFonts w:asciiTheme="minorHAnsi" w:hAnsiTheme="minorHAnsi" w:cstheme="minorHAnsi"/>
          <w:sz w:val="22"/>
          <w:szCs w:val="20"/>
        </w:rPr>
      </w:pPr>
    </w:p>
    <w:p w14:paraId="3442396B" w14:textId="77777777" w:rsidR="00E07A92" w:rsidRPr="00E07A92" w:rsidRDefault="00E07A92" w:rsidP="00E07A92">
      <w:pPr>
        <w:suppressAutoHyphens w:val="0"/>
        <w:autoSpaceDE w:val="0"/>
        <w:adjustRightInd w:val="0"/>
        <w:textAlignment w:val="auto"/>
        <w:rPr>
          <w:rFonts w:ascii="Calibri" w:eastAsiaTheme="minorHAnsi" w:hAnsi="Calibri" w:cs="Calibri"/>
          <w:color w:val="000000"/>
          <w:lang w:eastAsia="en-US"/>
        </w:rPr>
      </w:pPr>
    </w:p>
    <w:p w14:paraId="193E7B84" w14:textId="6BA18B1F" w:rsidR="004E5750" w:rsidRDefault="00E07A92" w:rsidP="00E07A92">
      <w:pPr>
        <w:jc w:val="center"/>
        <w:rPr>
          <w:rFonts w:ascii="Calibri" w:eastAsiaTheme="minorHAnsi" w:hAnsi="Calibri" w:cs="Calibri"/>
          <w:b/>
          <w:bCs/>
          <w:color w:val="000000"/>
          <w:sz w:val="22"/>
          <w:szCs w:val="22"/>
          <w:lang w:eastAsia="en-US"/>
        </w:rPr>
      </w:pPr>
      <w:r w:rsidRPr="00E07A92">
        <w:rPr>
          <w:rFonts w:ascii="Calibri" w:eastAsiaTheme="minorHAnsi" w:hAnsi="Calibri" w:cs="Calibri"/>
          <w:color w:val="000000"/>
          <w:lang w:eastAsia="en-US"/>
        </w:rPr>
        <w:t xml:space="preserve"> </w:t>
      </w:r>
      <w:r w:rsidRPr="00E07A92">
        <w:rPr>
          <w:rFonts w:ascii="Calibri" w:eastAsiaTheme="minorHAnsi" w:hAnsi="Calibri" w:cs="Calibri"/>
          <w:b/>
          <w:bCs/>
          <w:color w:val="000000"/>
          <w:sz w:val="22"/>
          <w:szCs w:val="22"/>
          <w:lang w:eastAsia="en-US"/>
        </w:rPr>
        <w:t>Procedura Windykacyjna</w:t>
      </w:r>
    </w:p>
    <w:p w14:paraId="2F630884" w14:textId="77777777" w:rsidR="00E07A92" w:rsidRDefault="00E07A92" w:rsidP="00E07A92">
      <w:pPr>
        <w:jc w:val="center"/>
        <w:rPr>
          <w:rFonts w:ascii="Calibri" w:eastAsiaTheme="minorHAnsi" w:hAnsi="Calibri" w:cs="Calibri"/>
          <w:b/>
          <w:bCs/>
          <w:color w:val="000000"/>
          <w:sz w:val="22"/>
          <w:szCs w:val="22"/>
          <w:lang w:eastAsia="en-US"/>
        </w:rPr>
      </w:pPr>
    </w:p>
    <w:p w14:paraId="054A8B4B" w14:textId="6FA05D25" w:rsidR="00E07A92" w:rsidRDefault="00E07A92" w:rsidP="00E07A92">
      <w:pPr>
        <w:pStyle w:val="Akapitzlist"/>
        <w:numPr>
          <w:ilvl w:val="0"/>
          <w:numId w:val="40"/>
        </w:numPr>
        <w:jc w:val="both"/>
        <w:rPr>
          <w:rStyle w:val="fontstyle21"/>
          <w:rFonts w:asciiTheme="minorHAnsi" w:hAnsiTheme="minorHAnsi" w:cstheme="minorHAnsi"/>
          <w:sz w:val="22"/>
          <w:szCs w:val="20"/>
        </w:rPr>
      </w:pPr>
      <w:r w:rsidRPr="00E07A92">
        <w:rPr>
          <w:rStyle w:val="fontstyle21"/>
          <w:rFonts w:asciiTheme="minorHAnsi" w:hAnsiTheme="minorHAnsi" w:cstheme="minorHAnsi"/>
          <w:sz w:val="22"/>
          <w:szCs w:val="20"/>
        </w:rPr>
        <w:t>Upoważnienie do dochodzenia Wierzytelności</w:t>
      </w:r>
    </w:p>
    <w:p w14:paraId="76224189" w14:textId="3EE626D3" w:rsidR="00E07A92" w:rsidRP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Umowa określa szczegółowe warunki i zasady wdrożenia i zarządzania przez Pośrednika Finansowego Instrumentem Finansowym w ramach przyznanego Limitu Pożyczki z wykorzystaniem Wkładu Funduszu Funduszy do Instrumentu Finansowego, z których udzielane będą Jednostkowe Pożyczki w celu realizacji Inwestycji przez Ostatecznych Odbiorców;</w:t>
      </w:r>
    </w:p>
    <w:p w14:paraId="1E6C3EED" w14:textId="5403B527"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Na mocy postanowień Umowy Menadżer upoważnił Pośrednika Finansowego, a Pośrednik Finansowy zobowiązał się do dochodzenia od Ostatecznych Odbiorców z należytą starannością wynikającą z profesjonalnego charakteru jego działalności, w drodze negocjacji lub wszelkich innych działań prawnych dopuszczalnych na gruncie powszechnie obowiązujących przepisów prawa, wszelkich niezaspokojonych roszczeń w pełnej wysokości wraz z należnymi odsetkami („Wierzytelności”) przysługujących Menadżerowi lub Instytucji Zarządzającej, w zakresie, w jakim uprawnienia do dochodzenia roszczeń przysługujących Instytucji Zarządzającej zostały przez nią przekazane Menadżerowi;</w:t>
      </w:r>
    </w:p>
    <w:p w14:paraId="2D498777" w14:textId="2C6D9C2F"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Pośrednik Finansowy będzie dochodził danej Wierzytelności w wysokości niższej niż pełna, wyłącznie za wyraźną pisemną zgodą Menadżera.</w:t>
      </w:r>
    </w:p>
    <w:p w14:paraId="040D7891" w14:textId="24890530" w:rsidR="00E07A92" w:rsidRPr="00E07A92" w:rsidRDefault="00E07A92" w:rsidP="00E07A92">
      <w:pPr>
        <w:pStyle w:val="Akapitzlist"/>
        <w:numPr>
          <w:ilvl w:val="0"/>
          <w:numId w:val="40"/>
        </w:numPr>
        <w:jc w:val="both"/>
        <w:rPr>
          <w:rStyle w:val="fontstyle21"/>
          <w:rFonts w:asciiTheme="minorHAnsi" w:hAnsiTheme="minorHAnsi" w:cstheme="minorHAnsi"/>
          <w:sz w:val="22"/>
          <w:szCs w:val="20"/>
        </w:rPr>
      </w:pPr>
      <w:r w:rsidRPr="00E07A92">
        <w:rPr>
          <w:rStyle w:val="fontstyle21"/>
          <w:rFonts w:asciiTheme="minorHAnsi" w:hAnsiTheme="minorHAnsi" w:cstheme="minorHAnsi"/>
          <w:sz w:val="22"/>
          <w:szCs w:val="20"/>
        </w:rPr>
        <w:t>Definicje i interpretacja</w:t>
      </w:r>
    </w:p>
    <w:p w14:paraId="3798C0A2" w14:textId="487B1316" w:rsidR="00E07A92" w:rsidRDefault="00E07A92" w:rsidP="00E07A92">
      <w:p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Terminy zdefiniowane w Umowie posiadają to samo znaczenie w niniejszym Załączniku, o ile w niniejszym Załączniku nie podano ich innego znaczenia.</w:t>
      </w:r>
    </w:p>
    <w:p w14:paraId="34981C6B" w14:textId="222B82EF" w:rsidR="00E07A92" w:rsidRDefault="00E07A92" w:rsidP="00E07A92">
      <w:pPr>
        <w:pStyle w:val="Akapitzlist"/>
        <w:numPr>
          <w:ilvl w:val="0"/>
          <w:numId w:val="40"/>
        </w:numPr>
        <w:jc w:val="both"/>
        <w:rPr>
          <w:rStyle w:val="fontstyle21"/>
          <w:rFonts w:asciiTheme="minorHAnsi" w:hAnsiTheme="minorHAnsi" w:cstheme="minorHAnsi"/>
          <w:sz w:val="22"/>
          <w:szCs w:val="20"/>
        </w:rPr>
      </w:pPr>
      <w:r w:rsidRPr="00E07A92">
        <w:rPr>
          <w:rStyle w:val="fontstyle21"/>
          <w:rFonts w:asciiTheme="minorHAnsi" w:hAnsiTheme="minorHAnsi" w:cstheme="minorHAnsi"/>
          <w:sz w:val="22"/>
          <w:szCs w:val="20"/>
        </w:rPr>
        <w:t>Dochodzenie Wierzytelności</w:t>
      </w:r>
    </w:p>
    <w:p w14:paraId="17EEDC96" w14:textId="6E54C322"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Pośrednik Finansowy, w każdym przypadku, w którym Jednostkowa Pożyczka stała się wymagalna, zobowiązany jest do niezwłocznego dochodzenia Wierzytelności w sposób zapewniający zaspokojenie Wierzytelności w jak największym stopniu oraz w sposób zabezpieczający w jak największym stopniu interesy Menadżera oraz Instytucji Zarządzającej, z uwzględnieniem profesjonalnego charakteru działalności prowadzonej przez Pośrednika Finansowego zgodnie z postanowieniami Umowy.</w:t>
      </w:r>
    </w:p>
    <w:p w14:paraId="44CECE83" w14:textId="24162AF4"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Pośrednik Finansowy odpowiedzialny jest za szkodę wyrządzoną dochodzeniem Wierzytelności w sposób niezgodny z powszechnie obowiązującymi przepisami prawa lub Umowy, w tym za jakiekolwiek zawinione działania prowadzące do uszczuplenia lub uniemożliwienia zaspokojenia Wierzytelności. Pośrednik Finansowy odpowiedzialny jest również za szkodę wyrządzoną nieuzasadnionym zaniechaniem dochodzenia Wierzytelności.</w:t>
      </w:r>
    </w:p>
    <w:p w14:paraId="017A9B53" w14:textId="54A4A9A6"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Dochodzenie Wierzytelności od Ostatecznego Odbiorcy jest prowadzone przez Pośrednika Finansowego w sposób zgodny z powszechnie obowiązującymi przepisami prawa, Umową, niniejszą Procedurą Windykacyjną oraz zgodnie ze stosowanymi przez Pośrednika Finansowego procedurami dotyczącymi dochodzenia wierzytelności od jego klientów i może polegać w szczególności na:</w:t>
      </w:r>
    </w:p>
    <w:p w14:paraId="4C0D2B48" w14:textId="56C2E4AC"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prowadzeniu działań w celu polubownego wyegzekwowania Wierzytelności, w tym w szczególności na (i) wysyłaniu wezwań do zapłaty zadłużenia przez Ostatecznego</w:t>
      </w:r>
      <w:r>
        <w:rPr>
          <w:rStyle w:val="fontstyle21"/>
          <w:rFonts w:asciiTheme="minorHAnsi" w:hAnsiTheme="minorHAnsi" w:cstheme="minorHAnsi"/>
          <w:b w:val="0"/>
          <w:sz w:val="22"/>
          <w:szCs w:val="20"/>
        </w:rPr>
        <w:t xml:space="preserve"> </w:t>
      </w:r>
      <w:r w:rsidRPr="00E07A92">
        <w:rPr>
          <w:rStyle w:val="fontstyle21"/>
          <w:rFonts w:asciiTheme="minorHAnsi" w:hAnsiTheme="minorHAnsi" w:cstheme="minorHAnsi"/>
          <w:b w:val="0"/>
          <w:sz w:val="22"/>
          <w:szCs w:val="20"/>
        </w:rPr>
        <w:t>Odbiorcę, (ii) negocjowaniu formy oraz terminu zapłaty Wierzytelności w drodze kontaktów telefonicznych, listowych oraz w zależności od okoliczności kontaktów bezpośrednich, (iii) zawieraniu i monitorowaniu porozumień o odroczonym terminie płatności Wierzytelności lub spłaty Wierzytelności w ratach uzgodnionych przez Pośrednika Finansowego w zakresie dozwolonym na gruncie Umowy;</w:t>
      </w:r>
    </w:p>
    <w:p w14:paraId="26DC7FAD" w14:textId="514D49F2"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realizacji zabezpieczeń udzielonych przez Ostatecznego Odbiorcę na zabezpieczenie Jednostkowej Pożyczki;</w:t>
      </w:r>
    </w:p>
    <w:p w14:paraId="1D1AB32A" w14:textId="6286CBF8"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lastRenderedPageBreak/>
        <w:t>podejmowaniu działań przed sądami powszechnymi wszystkich instancji i Sądem Najwyższym oraz podejmowaniu czynności procesowych w pełnym niezbędnym zakresie, w szczególności sporządzaniu, podpisywaniu i wnoszeniu wszelkich pism procesowych, w tym pozwów dotyczących roszczeń wynikających z Wierzytelności oraz udzielonych przez Ostatecznego Odbiorcę zabezpieczeń Jednostkowej Pożyczki, a także uczestniczenia w rozprawach w sprawach dotyczących dochodzenia roszczeń wynikających z Wierzytelności oraz udzielonych przez Ostatecznego Odbiorcę zabezpieczeń Jednostkowej Pożyczki, wnoszenia, o ile jest to zasadne, wszelkich przewidzianych prawem środków zaskarżenia od wszelkich rozstrzygnięć sądów, przed którymi toczy się postępowanie dotyczące Wierzytelności oraz udzielonych przez Ostatecznego Odbiorcę zabezpieczeń Jednostkowej Pożyczki, aż do ich uprawomocnienia się, a także skargi kasacyjnej;</w:t>
      </w:r>
    </w:p>
    <w:p w14:paraId="684BE626" w14:textId="1DE98C81"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prowadzeniu postępowania egzekucyjnego przeciwko Ostatecznemu Odbiorcy w odniesieniu do Wierzytelności oraz udzielonych przez Ostatecznego Odbiorcę zabezpieczeń Jednostkowej Pożyczki przed organami egzekucyjnymi, organami administracji publicznej, sądami powszechnymi wszystkich instancji, podejmowaniu wszelkich czynności, w tym procesowych, w pełnym niezbędnym zakresie, w szczególności sporządzaniu, podpisywaniu i wnoszeniu wszelkich wniosków i pism, w tym procesowych związanych z postępowaniem egzekucyjnym w celu dochodzenia roszczeń wynikających z Wierzytelności oraz udzielonych przez Ostatecznego Odbiorcę zabezpieczeń Jednostkowej Pożyczki, a także uczestniczenia w rozprawach w sprawach dotyczących dochodzenia roszczeń wynikających z Wierzytelności oraz udzielonych przez Ostatecznego Odbiorcę zabezpieczeń Jednostkowej Pożyczki oraz wnoszenia, o ile jest to zasadne, wszelkich przewidzianych prawem środków zaskarżenia od wszelkich rozstrzygnięć organów postępowania egzekucyjnego i sądów, przed którymi toczy się postępowanie dotyczące Wierzytelności oraz udzielonych przez Ostatecznego Odbiorcę zabezpieczeń Jednostkowej Pożyczki, aż do ich uprawomocnienia się;</w:t>
      </w:r>
    </w:p>
    <w:p w14:paraId="23BFE996" w14:textId="670B7CDB"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prowadzeniu innych działań, z zastrzeżeniem postanowienia pkt 3.6., przewidzianych powszechnie obowiązującymi przepisami prawa, zmierzających do należytego zabezpieczenia oraz dochodzenia Wierzytelności, w tym m. in.:</w:t>
      </w:r>
    </w:p>
    <w:p w14:paraId="3EC1CE53" w14:textId="742DCA34" w:rsidR="00E07A92" w:rsidRDefault="00E07A92" w:rsidP="00E07A92">
      <w:pPr>
        <w:pStyle w:val="Akapitzlist"/>
        <w:numPr>
          <w:ilvl w:val="3"/>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prowadzenie działań w postępowaniu upadłościowym</w:t>
      </w:r>
    </w:p>
    <w:p w14:paraId="1BB32142" w14:textId="657910C0" w:rsidR="00E07A92" w:rsidRDefault="00E07A92" w:rsidP="00E07A92">
      <w:pPr>
        <w:pStyle w:val="Akapitzlist"/>
        <w:numPr>
          <w:ilvl w:val="3"/>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prowadzenie działań w postępowaniu restrukturyzacyjnym</w:t>
      </w:r>
    </w:p>
    <w:p w14:paraId="70848F0E" w14:textId="75DA2DFC" w:rsidR="00E07A92" w:rsidRDefault="00E07A92" w:rsidP="00E07A92">
      <w:pPr>
        <w:pStyle w:val="Akapitzlist"/>
        <w:numPr>
          <w:ilvl w:val="3"/>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prowadzenie działań w postępowaniu likwidacyjnym</w:t>
      </w:r>
    </w:p>
    <w:p w14:paraId="4E23224B" w14:textId="35525D07" w:rsidR="00E07A92" w:rsidRDefault="00E07A92" w:rsidP="00E07A92">
      <w:pPr>
        <w:pStyle w:val="Akapitzlist"/>
        <w:numPr>
          <w:ilvl w:val="3"/>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złożenie do sądu wniosku o wyjawienie majątku</w:t>
      </w:r>
    </w:p>
    <w:p w14:paraId="33C7AF9C" w14:textId="216449D2" w:rsidR="00E07A92" w:rsidRDefault="00E07A92" w:rsidP="00E07A92">
      <w:pPr>
        <w:pStyle w:val="Akapitzlist"/>
        <w:numPr>
          <w:ilvl w:val="3"/>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złożenie zawiadomienia o podejrzeniu popełnienia przestępstwa</w:t>
      </w:r>
    </w:p>
    <w:p w14:paraId="1F70CFF0" w14:textId="1028BB97"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W przypadku, gdy w danej Jednostkowej Pożyczce, występują inni poza Ostatecznym Odbiorcą zobowiązani, wobec których można dochodzić Wierzytelności, Pośrednik Finansowy jest również zobowiązany do podjęcia czynności windykacyjnych wskazanych w pkt 3.3.</w:t>
      </w:r>
    </w:p>
    <w:p w14:paraId="05B14A3A" w14:textId="143D4131"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Niezależnie od zobowiązania Pośrednika Finansowego do dochodzenia Wierzytelności, Pośrednik Finansowy jest zobowiązany do podjęcia, z należytą starannością wynikającą z profesjonalnego charakteru jego działalności, wszelkich działań w celu dochodzenia względem Ostatecznego Odbiorcy wszelkich niezaspokojonych roszczeń w pełnej wysokości wraz z należnymi odsetkami, przysługujących Pośrednikowi Finansowemu z tytułu Wkładu Pośrednika Finansowego w Jednostkowej Pożyczce, w celu ich zaspokojenia w jak największym stopniu, w tym do prowadzenia postępowania egzekucyjnego względem Ostatecznego Odbiorcy oraz realizacji zabezpieczeń.</w:t>
      </w:r>
    </w:p>
    <w:p w14:paraId="0CFAACA0" w14:textId="3784739B"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Pośrednik Finansowy bez pisemnej zgody Menadżera nie może zbywać Wierzytelności.</w:t>
      </w:r>
    </w:p>
    <w:p w14:paraId="6F53D5D3" w14:textId="7E9CEEBC" w:rsidR="00E07A92" w:rsidRPr="00E07A92" w:rsidRDefault="00E07A92" w:rsidP="00E07A92">
      <w:pPr>
        <w:pStyle w:val="Akapitzlist"/>
        <w:numPr>
          <w:ilvl w:val="0"/>
          <w:numId w:val="40"/>
        </w:numPr>
        <w:jc w:val="both"/>
        <w:rPr>
          <w:rStyle w:val="fontstyle21"/>
          <w:rFonts w:asciiTheme="minorHAnsi" w:hAnsiTheme="minorHAnsi" w:cstheme="minorHAnsi"/>
          <w:sz w:val="22"/>
          <w:szCs w:val="20"/>
        </w:rPr>
      </w:pPr>
      <w:r w:rsidRPr="00E07A92">
        <w:rPr>
          <w:rStyle w:val="fontstyle21"/>
          <w:rFonts w:asciiTheme="minorHAnsi" w:hAnsiTheme="minorHAnsi" w:cstheme="minorHAnsi"/>
          <w:sz w:val="22"/>
          <w:szCs w:val="20"/>
        </w:rPr>
        <w:t>Zlecenie dochodzenia Wierzytelności Osobie Trzeciej</w:t>
      </w:r>
    </w:p>
    <w:p w14:paraId="657F9D8E" w14:textId="1CB50EBB"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 xml:space="preserve">W celu wykonania swoich zobowiązań do dochodzenia Wierzytelności zgodnie z postanowieniami Umowy, Pośrednik Finansowy może zlecić dochodzenie Wierzytelności </w:t>
      </w:r>
      <w:r w:rsidRPr="00E07A92">
        <w:rPr>
          <w:rStyle w:val="fontstyle21"/>
          <w:rFonts w:asciiTheme="minorHAnsi" w:hAnsiTheme="minorHAnsi" w:cstheme="minorHAnsi"/>
          <w:b w:val="0"/>
          <w:sz w:val="22"/>
          <w:szCs w:val="20"/>
        </w:rPr>
        <w:lastRenderedPageBreak/>
        <w:t>osobie trzeciej („Osoba Trzecia”) na zasadach określonych w niniejszej Procedurze Windykacyjnej.</w:t>
      </w:r>
    </w:p>
    <w:p w14:paraId="6902E164" w14:textId="0F267962" w:rsidR="00E07A92" w:rsidRDefault="00E07A92" w:rsidP="00E07A92">
      <w:pPr>
        <w:pStyle w:val="Akapitzlist"/>
        <w:numPr>
          <w:ilvl w:val="1"/>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Pośrednik Finansowy może powierzyć dochodzenie Wierzytelności w imieniu Menadżera jedynie Osobie Trzeciej, która spełnia następujące kryteria:</w:t>
      </w:r>
    </w:p>
    <w:p w14:paraId="520B502C" w14:textId="57B3B568"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prowadzi działalność w zakresie windykacji wierzytelności na rzecz swoich klientów lub prowadzi działalność w zakresie pomocy prawnej zgodnie z odpowiednimi przepisami prawa;</w:t>
      </w:r>
    </w:p>
    <w:p w14:paraId="244348C0" w14:textId="47B43A0F" w:rsidR="00E07A92" w:rsidRDefault="00E07A92" w:rsidP="00E07A92">
      <w:pPr>
        <w:pStyle w:val="Akapitzlist"/>
        <w:numPr>
          <w:ilvl w:val="2"/>
          <w:numId w:val="40"/>
        </w:numPr>
        <w:jc w:val="both"/>
        <w:rPr>
          <w:rStyle w:val="fontstyle21"/>
          <w:rFonts w:asciiTheme="minorHAnsi" w:hAnsiTheme="minorHAnsi" w:cstheme="minorHAnsi"/>
          <w:b w:val="0"/>
          <w:sz w:val="22"/>
          <w:szCs w:val="20"/>
        </w:rPr>
      </w:pPr>
      <w:r w:rsidRPr="00E07A92">
        <w:rPr>
          <w:rStyle w:val="fontstyle21"/>
          <w:rFonts w:asciiTheme="minorHAnsi" w:hAnsiTheme="minorHAnsi" w:cstheme="minorHAnsi"/>
          <w:b w:val="0"/>
          <w:sz w:val="22"/>
          <w:szCs w:val="20"/>
        </w:rPr>
        <w:t>daje rękojmię dochodzenia Wierzytelności z należytą starannością i w sposób rzetelny;</w:t>
      </w:r>
    </w:p>
    <w:p w14:paraId="0A265344" w14:textId="1FC12D9B" w:rsidR="00DE222E" w:rsidRDefault="00DE222E" w:rsidP="00DE222E">
      <w:pPr>
        <w:pStyle w:val="Akapitzlist"/>
        <w:numPr>
          <w:ilvl w:val="2"/>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jest podmiotem godnym zaufania, nieprowadzącym działalności w sposób budzący wątpliwości co do jego zgodności z prawem lub dobrymi obyczajami.</w:t>
      </w:r>
    </w:p>
    <w:p w14:paraId="50FF5B17" w14:textId="0A436960"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Pośrednik Finansowy może powierzyć Osobie Trzeciej dochodzenie Wierzytelności w ramach zawartej przez Pośrednika Finansowego umowy ramowej, stałej lub incydentalnej na potrzeby dochodzenia poszczególnych Wierzytelności („Umowa Zlecenia Dochodzenia Wierzytelności”), jednakże w każdym przypadku Pośrednik Finansowy zobowiązany jest zapewnić, aby na mocy odpowiedniej Umowy Zlecenia Dochodzenia Wierzytelności Osoba Trzecia zobowiązała się do dochowania należytej staranności i przestrzegania postanowień niniejszej Procedury Windykacyjnej w zakresie zasad dochodzenia Wierzytelności, a w szczególności, aby Osoba Trzecia zobowiązała się do dochodzenia Wierzytelności w sposób zgodny z prawem, należytą starannością wynikającą z profesjonalnego charakteru jej działalności oraz do niezwłocznego przekazywania Pośrednikowi Finansowemu wszelkich środków należnych Pośrednikowi Finansowemu, Menadżerowi lub Instytucji Zarządzającej uzyskanych wskutek dochodzenia Wierzytelności na podstawie Umowy Zlecenia Dochodzenia Wierzytelności. Pośrednik Finansowy zobowiązany jest zapewnić, aby na mocy Umowy Zlecenia Dochodzenia Wierzytelności podmiotem wyłącznie zobowiązanym względem Osoby Trzeciej za należne jej na mocy takiej umowy wynagrodzenia był Pośrednik Finansowy.</w:t>
      </w:r>
    </w:p>
    <w:p w14:paraId="572E3F79" w14:textId="7A219CDD"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Pośrednik Finansowy zobowiązany jest zapewnić, aby powierzenie Osobie Trzeciej dochodzenia Wierzytelności na podstawie Umowy Zlecenia Dochodzenia Wierzytelności nie spowodowało naruszenia obowiązku zachowania w tajemnicy jakichkolwiek informacji dotyczących Wierzytelności lub Ostatecznego Odbiorcy w tym danych osobowych, zarówno wynikającego z przepisów prawa jak i Umowy.</w:t>
      </w:r>
    </w:p>
    <w:p w14:paraId="768BC77D" w14:textId="3EC5E502"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Pośrednik Finansowy jest odpowiedzialny za działania Osoby Trzeciej podejmowane przez nią w związku z dochodzeniem Wierzytelności jak za swoje własne, w szczególności będzie odpowiedzialny solidarnie z Osobą Trzecią za wszelkie ewentualne szkody wyrządzone przez Osobę Trzecią w związku z powierzeniem jej przez Pośrednika Finansowego dochodzenia Wierzytelności. Odpowiedzialność Pośrednika Finansowego oparta jest na zasadzie ryzyka i jest niezależna od dochowania przez Pośrednika Finansowego należytej staranności przy wyborze Osoby Trzeciej. Pośrednik Finansowy może zwolnić się z odpowiedzialności za szkodę, o której mowa w zdaniach poprzedzających jedynie w przypadku i w zakresie, w jakim Pośrednik Finansowy wykaże, że szkoda taka powstałaby także w przypadku, gdyby dochodzenie Wierzytelności było prowadzone przez Pośrednika Finansowego.</w:t>
      </w:r>
    </w:p>
    <w:p w14:paraId="48EF431C" w14:textId="43CB1FCF" w:rsidR="00DE222E" w:rsidRDefault="00DE222E" w:rsidP="00DE222E">
      <w:pPr>
        <w:pStyle w:val="Akapitzlist"/>
        <w:numPr>
          <w:ilvl w:val="0"/>
          <w:numId w:val="40"/>
        </w:numPr>
        <w:jc w:val="both"/>
        <w:rPr>
          <w:rStyle w:val="fontstyle21"/>
          <w:rFonts w:asciiTheme="minorHAnsi" w:hAnsiTheme="minorHAnsi" w:cstheme="minorHAnsi"/>
          <w:sz w:val="22"/>
          <w:szCs w:val="20"/>
        </w:rPr>
      </w:pPr>
      <w:r w:rsidRPr="00DE222E">
        <w:rPr>
          <w:rStyle w:val="fontstyle21"/>
          <w:rFonts w:asciiTheme="minorHAnsi" w:hAnsiTheme="minorHAnsi" w:cstheme="minorHAnsi"/>
          <w:sz w:val="22"/>
          <w:szCs w:val="20"/>
        </w:rPr>
        <w:t>Koszty Windykacji</w:t>
      </w:r>
    </w:p>
    <w:p w14:paraId="78A336B1" w14:textId="2A8DFD23"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Koszty windykacyjne dochodzenia Wierzytelności oraz Wkładu Pośrednika Finansowego w Jednostkowej Pożyczce ponosi Pośrednik Finansowy.</w:t>
      </w:r>
    </w:p>
    <w:p w14:paraId="2434FEEF" w14:textId="711BA03A"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Koszty windykacyjne Pośrednik Finansowy zaspokaja w trakcie prowadzonych czynności windykacyjnych podejmowanych przez Pośrednika Finansowego lub Osobę Trzecią w ramach dochodzenia Wierzytelności oraz Wkładu Pośrednika Finansowego od danego Ostatecznego Odbiorcy oraz innych zobowiązanych, o ile występują.</w:t>
      </w:r>
    </w:p>
    <w:p w14:paraId="4BDEB70C" w14:textId="5D22F121"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Koszty windykacyjne niezaspokojone w trakcie prowadzonych czynności windykacyjnych, o których mowa w pkt 5.2., w przypadku zakończenia działań windykacyjnych, o których mowa w pkt 9, Pośrednik Finansowy powinien pokryć ze środków własnych.</w:t>
      </w:r>
    </w:p>
    <w:p w14:paraId="20896B43" w14:textId="3E575405" w:rsidR="00DE222E" w:rsidRPr="00DE222E" w:rsidRDefault="00DE222E" w:rsidP="00DE222E">
      <w:pPr>
        <w:pStyle w:val="Akapitzlist"/>
        <w:numPr>
          <w:ilvl w:val="0"/>
          <w:numId w:val="40"/>
        </w:numPr>
        <w:jc w:val="both"/>
        <w:rPr>
          <w:rStyle w:val="fontstyle21"/>
          <w:rFonts w:asciiTheme="minorHAnsi" w:hAnsiTheme="minorHAnsi" w:cstheme="minorHAnsi"/>
          <w:sz w:val="22"/>
          <w:szCs w:val="20"/>
        </w:rPr>
      </w:pPr>
      <w:r w:rsidRPr="00DE222E">
        <w:rPr>
          <w:rStyle w:val="fontstyle21"/>
          <w:rFonts w:asciiTheme="minorHAnsi" w:hAnsiTheme="minorHAnsi" w:cstheme="minorHAnsi"/>
          <w:sz w:val="22"/>
          <w:szCs w:val="20"/>
        </w:rPr>
        <w:lastRenderedPageBreak/>
        <w:t>Zaliczenie i przekazywanie środków uzyskanych od Ostatecznego Odbiorcy</w:t>
      </w:r>
    </w:p>
    <w:p w14:paraId="373F1125" w14:textId="407AF763"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Pośrednik Finansowy jest zobowiązany do przekazywania Menadżerowi albo Instytucji Zarządzającej wszelkich kwot uzyskanych w wyniku dochodzenia poszczególnych Wierzytelności zgodnie z postanowieniami Załącznika nr 3 – Procedura Składania Rozliczeń Operacji oraz na zasadach określonych poniżej.</w:t>
      </w:r>
    </w:p>
    <w:p w14:paraId="487164BC" w14:textId="75CB53A0"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Wszelkie odzyskane przez Pośrednika Finansowego kwoty z tytułu Wierzytelności, w tym kwoty odzyskane w wyniku egzekucji praw z zabezpieczeń ustanowionych przez Ostatecznego Odbiorcę obniżają straty ponoszone przez Menadżera, z zastrzeżeniem pkt 6.3.</w:t>
      </w:r>
    </w:p>
    <w:p w14:paraId="145407DB" w14:textId="588C7CF4"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Z odzyskanych od Ostatecznego Odbiorcy kwot Wierzytelności, Pośrednik Finansowy dokonuje potrącenia wydatków stanowiących koszty windykacji, na które składają się niezbędne i konieczne wydatki stanowiące koszty podejmowanych przez Pośrednika Finansowego lub Osobę Trzecią działań lub czynności windykacyjnych, ponoszonych w ramach dochodzenia Wierzytelności od danego Ostatecznego Odbiorcy, do których zapłaty (zwrotu) Ostateczny Odbiorca jest zobowiązany na podstawie prawomocnego orzeczenia sądu lub porozumienia zawartego przez Pośrednika Finansowego z Ostatecznym Odbiorcą. Powyższa zasada, poprzez analogię, ma zastosowanie do kosztów windykacji, ponoszonych wobec innych, poza Ostatecznym Odbiorcą, zobowiązanych (o ile występują w Jednostkowej Pożyczce).</w:t>
      </w:r>
    </w:p>
    <w:p w14:paraId="20A27548" w14:textId="2C976F21"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Potrącenie kosztów windykacji, o którym mowa w pkt 6.3., odbywa się poprzez dokonanie przez Pośrednika Finansowego z właściwego rachunku bankowego z łącznych środków odzyskanych od danego Ostatecznego Odbiorcy w ramach danej Umowy Inwestycyjnej samodzielnej wypłaty środków w kwocie kosztów windykacji, zgodnie z rozliczeniem efektów windykacji poszczególnych Wierzytelności.</w:t>
      </w:r>
    </w:p>
    <w:p w14:paraId="488F1430" w14:textId="0B284D3B"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Przekazywanie Menadżerowi lub Instytucji Zarządzającej należnych kwot Wierzytelności oraz składanie sprawozdań i rozliczeń z efektów windykacji (odzyskanych poszczególnych Wierzytelności oraz kosztów windykacji poszczególnych Wierzytelności), w tym rozliczenie efektów windykacji Wierzytelności w ramach poszczególnych Umów Inwestycyjnych odbywa się w odstępach miesięcznych na podstawie przedkładanych Menadżerowi przez Pośrednika Finansowego miesięcznych rozliczeń efektów prowadzonej windykacji Wierzytelności w ramach miesięcznych sprawozdań Pośrednika Finansowego.</w:t>
      </w:r>
    </w:p>
    <w:p w14:paraId="242782CA" w14:textId="160A24C2"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Wszelkie odzyskane przez Pośrednika Finansowego od Ostatecznego Odbiorcy kwoty zaliczane są w następującej kolejności, na poczet spłaty:</w:t>
      </w:r>
    </w:p>
    <w:p w14:paraId="1E30D469" w14:textId="69A349D6" w:rsidR="00DE222E" w:rsidRDefault="00DE222E" w:rsidP="00DE222E">
      <w:pPr>
        <w:pStyle w:val="Akapitzlist"/>
        <w:numPr>
          <w:ilvl w:val="2"/>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kosztów związanych z dochodzeniem Wierzytelności</w:t>
      </w:r>
    </w:p>
    <w:p w14:paraId="385485A3" w14:textId="06E88753" w:rsidR="00DE222E" w:rsidRDefault="00DE222E" w:rsidP="00DE222E">
      <w:pPr>
        <w:pStyle w:val="Akapitzlist"/>
        <w:numPr>
          <w:ilvl w:val="2"/>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odsetek od zadłużenia przeterminowanego (za opóźnienie)</w:t>
      </w:r>
    </w:p>
    <w:p w14:paraId="219C3706" w14:textId="2C5FF03C" w:rsidR="00DE222E" w:rsidRDefault="00DE222E" w:rsidP="00DE222E">
      <w:pPr>
        <w:pStyle w:val="Akapitzlist"/>
        <w:numPr>
          <w:ilvl w:val="2"/>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odsetek od zadłużenia nieprzeterminowanego (umownych) – jeśli występują</w:t>
      </w:r>
    </w:p>
    <w:p w14:paraId="778FF700" w14:textId="6A2CD2F7" w:rsidR="00DE222E" w:rsidRDefault="00DE222E" w:rsidP="00DE222E">
      <w:pPr>
        <w:pStyle w:val="Akapitzlist"/>
        <w:numPr>
          <w:ilvl w:val="2"/>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kapitału Wierzytelności</w:t>
      </w:r>
    </w:p>
    <w:p w14:paraId="54A6458A" w14:textId="69442E2C"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przypadku, gdy w danej Jednostkowej Pożyczce nastąpiła kapitalizacja innego (niż kapitał) składnika zadłużenia (np. odsetek), wówczas Pośrednik Finansowy zobowiązany jest ewidencjonować zadłużenie z tytułu skapitalizowanych kwot po stronie wynikającej z pierwotnego charakteru tego składnika zadłużenia oraz analogicznie postępować w przypadku ewentualnych rozliczeń odzysków (stosując zasadę rozliczania wskazaną w pkt 6.6., z zastrzeżeniem zapisów pkt 6.8.). Powyższa zasada służy tylko i wyłącznie prawidłowemu wykazywaniu zadłużenia oraz odzysków w dokumentach sprawozdawczych sporządzanych przez Pośrednika Finansowego dla Menadżera i nie wpływa na treść dokumentów, z których wynika fakt skapitalizowania składnika zadłużenia (innego niż kapitał).</w:t>
      </w:r>
    </w:p>
    <w:p w14:paraId="77AC505B" w14:textId="5C8AEFCF" w:rsidR="00DE222E" w:rsidRDefault="00DE222E" w:rsidP="007344FB">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szczególnie uzasadnionych przypadkach, Menadżer, na wniosek Pośrednika Finansowego (po przedstawieniu przez niego stanu faktyczno-prawnego), może wyrazić zgodę na zmianę kolejności zaliczania wpłat wskazaną w pkt 6.6.</w:t>
      </w:r>
      <w:r>
        <w:rPr>
          <w:rStyle w:val="fontstyle21"/>
          <w:rFonts w:asciiTheme="minorHAnsi" w:hAnsiTheme="minorHAnsi" w:cstheme="minorHAnsi"/>
          <w:b w:val="0"/>
          <w:sz w:val="22"/>
          <w:szCs w:val="20"/>
        </w:rPr>
        <w:t xml:space="preserve"> </w:t>
      </w:r>
      <w:r w:rsidRPr="00DE222E">
        <w:rPr>
          <w:rStyle w:val="fontstyle21"/>
          <w:rFonts w:asciiTheme="minorHAnsi" w:hAnsiTheme="minorHAnsi" w:cstheme="minorHAnsi"/>
          <w:b w:val="0"/>
          <w:sz w:val="22"/>
          <w:szCs w:val="20"/>
        </w:rPr>
        <w:t xml:space="preserve">Zgoda ma charakter indywidualny, co oznacza, że jest wydawana tylko i wyłącznie dla danej Jednostkowej Pożyczki będącej </w:t>
      </w:r>
      <w:r w:rsidRPr="00DE222E">
        <w:rPr>
          <w:rStyle w:val="fontstyle21"/>
          <w:rFonts w:asciiTheme="minorHAnsi" w:hAnsiTheme="minorHAnsi" w:cstheme="minorHAnsi"/>
          <w:b w:val="0"/>
          <w:sz w:val="22"/>
          <w:szCs w:val="20"/>
        </w:rPr>
        <w:lastRenderedPageBreak/>
        <w:t>przedmiotem wniosku, a nie jako zasada obowiązująca w danej Umowie we wszystkich sprawach znajdujących się w windykacji.</w:t>
      </w:r>
    </w:p>
    <w:p w14:paraId="591EC91D" w14:textId="285C7A3A" w:rsidR="00DE222E" w:rsidRPr="00DE222E" w:rsidRDefault="00DE222E" w:rsidP="00DE222E">
      <w:pPr>
        <w:pStyle w:val="Akapitzlist"/>
        <w:numPr>
          <w:ilvl w:val="0"/>
          <w:numId w:val="40"/>
        </w:numPr>
        <w:jc w:val="both"/>
        <w:rPr>
          <w:rStyle w:val="fontstyle21"/>
          <w:rFonts w:asciiTheme="minorHAnsi" w:hAnsiTheme="minorHAnsi" w:cstheme="minorHAnsi"/>
          <w:sz w:val="22"/>
          <w:szCs w:val="20"/>
        </w:rPr>
      </w:pPr>
      <w:r w:rsidRPr="00DE222E">
        <w:rPr>
          <w:rStyle w:val="fontstyle21"/>
          <w:rFonts w:asciiTheme="minorHAnsi" w:hAnsiTheme="minorHAnsi" w:cstheme="minorHAnsi"/>
          <w:sz w:val="22"/>
          <w:szCs w:val="20"/>
        </w:rPr>
        <w:t>Sprawozdawczość windykacyjna</w:t>
      </w:r>
    </w:p>
    <w:p w14:paraId="7EC9D663" w14:textId="34CFE5E7"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Pośrednik Finansowy zobowiązany jest przekazywać miesięcznie Menadżerowi sprawozdania dotyczące procesu dochodzenia Wierzytelności oraz kosztów windykacji. Sprawozdania z procesu windykacji Wierzytelności oraz kosztów windykacji powinny być sporządzane i przekazywane Menadżerowi zgodnie z aktualnymi na dzień ich przekazania wzorami sprawozdań udostępnionych Pośrednikowi Finansowemu (zgodnie z postanowieniami Umowy) w trybie określonym przez Menadżera.</w:t>
      </w:r>
    </w:p>
    <w:p w14:paraId="26B38D2F" w14:textId="67152284"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przypadku zaistnienia jakichkolwiek innych istotnych zdarzeń dotyczących procesu dochodzenia Wierzytelności, nieobjętych obowiązkiem sprawozdawczym lub zdarzeń, które z uwagi na swój charakter powinny zostać podane do wiadomości Menadżera niezwłocznie, Pośrednik Finansowy zobowiązuje się do informowania Menadżera na piśmie o takich zdarzeniach niezwłocznie po powzięciu wiadomości o ich zaistnieniu. W szczególności dotyczy to propozycji Pośrednika Finansowego w zakresie restrukturyzacji zadłużenia Ostateczneg</w:t>
      </w:r>
      <w:r>
        <w:rPr>
          <w:rStyle w:val="fontstyle21"/>
          <w:rFonts w:asciiTheme="minorHAnsi" w:hAnsiTheme="minorHAnsi" w:cstheme="minorHAnsi"/>
          <w:b w:val="0"/>
          <w:sz w:val="22"/>
          <w:szCs w:val="20"/>
        </w:rPr>
        <w:t xml:space="preserve">o </w:t>
      </w:r>
      <w:r w:rsidRPr="00DE222E">
        <w:rPr>
          <w:rStyle w:val="fontstyle21"/>
          <w:rFonts w:asciiTheme="minorHAnsi" w:hAnsiTheme="minorHAnsi" w:cstheme="minorHAnsi"/>
          <w:b w:val="0"/>
          <w:sz w:val="22"/>
          <w:szCs w:val="20"/>
        </w:rPr>
        <w:t>Odbiorcy, która wiązałaby się z koniecznością podjęcia decyzji, o której mowa w pkt 1.3. i 6.8. niniejszej Procedury windykacyjnej.</w:t>
      </w:r>
    </w:p>
    <w:p w14:paraId="30DA12F2" w14:textId="1B559DB4"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okresie realizacji Umowy Pośrednik Finansowy na podstawie przedkładanych Menadżerowi sprawozdań dotyczących (i) Wierzytelności przeterminowanych, windykowanych, odzyskanych i nieściągalnych, (ii) działań windykacyjnych realizowanych wobec Ostatecznych Odbiorców oraz (iii) uzyskanych efektów finansowych (m.in. odzyskanych kwot Wierzytelności oraz poniesionych kosztów windykacji) prowadzi miesięczne rozliczenia finansowe z Menadżerem dotyczące dochodzonych Wierzytelności oraz kosztów windykacji.</w:t>
      </w:r>
    </w:p>
    <w:p w14:paraId="3E8FB0FF" w14:textId="1881072D"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Po zakończeniu działań windykacyjnych dotyczących poszczególnych Wierzytelności należnych od danego Ostatecznego Odbiorcy w ramach danej Umowy Inwestycyjnej, Pośrednik Finansowy jest zobowiązany dokonać końcowego rozliczenia finansowego z Menadżerem efektów windykacji, w tym rozliczenia odzyskanych kwot Wierzytelności oraz zestawienia poniesionych i rozliczonych dotychczas kosztów windykacji.</w:t>
      </w:r>
    </w:p>
    <w:p w14:paraId="28FD0392" w14:textId="78338A40"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Rozliczenia końcowe windykacji Wierzytelności z pkt 6.4. Pośrednik Finansowy jest zobowiązany dokonać nie później niż do dnia wygaśnięcia lub rozwiązania Umowy. Dokonanie rozliczeń końcowych nie umniejsza praw Menadżera oraz Instytucji Zarządzającej do ewentualnych roszczeń z tego tytułu oraz rozliczanych Wierzytelności lub kosztów powstałych w wyniku końcowego rozliczenia wzajemnych wierzytelności i zobowiązań. Dokonanie rozliczeń końcowych nie zwalnia Pośrednika Finansowego z obowiązku wskazanego w par. 11 ust. 3 Umowy.</w:t>
      </w:r>
    </w:p>
    <w:p w14:paraId="6C4BA3CC" w14:textId="68D86570"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celu należytego rozliczenia prowadzonych działań i ich efektów, o których mowa w pkt 7.3. - 7.5., Pośrednik Finansowy jest zobowiązany prowadzić w sposób rzetelny i zgodnie z zasadami rachunkowości wyodrębnioną ewidencję księgową Wierzytelności przeterminowanych, windykowanych, odzyskanych i nieściągalnych oraz uzyskanych efektów finansowych (m.in. odzyskanych kwot Wierzytelności w ramach poszczególnych ich rodzajów oraz poniesionych i rozliczonych kosztów windykacji).</w:t>
      </w:r>
    </w:p>
    <w:p w14:paraId="50B87B63" w14:textId="3CB6DDAA"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W celu należytego rozliczenia prowadzonych działań i ich efektów, o których mowa w pkt 7.3. - 7.6., Pośrednik Finansowy jest zobowiązany ewidencjonować działania windykacyjne podejmowane wobec Ostatecznych Odbiorców, z wykorzystaniem aplikacji sprawozdawczej udostępnionej przez Menadżera, a w szczególności tworzyć oraz aktualizować na bieżąco kartę monitorowania założoną dla każdej Jednostkowej Pożyczki przekazanej do windykacji.</w:t>
      </w:r>
    </w:p>
    <w:p w14:paraId="4E628CC9" w14:textId="6F9AAF5F" w:rsidR="00DE222E" w:rsidRPr="00DE222E" w:rsidRDefault="00DE222E" w:rsidP="00DE222E">
      <w:pPr>
        <w:pStyle w:val="Akapitzlist"/>
        <w:numPr>
          <w:ilvl w:val="0"/>
          <w:numId w:val="40"/>
        </w:numPr>
        <w:jc w:val="both"/>
        <w:rPr>
          <w:rStyle w:val="fontstyle21"/>
          <w:rFonts w:asciiTheme="minorHAnsi" w:hAnsiTheme="minorHAnsi" w:cstheme="minorHAnsi"/>
          <w:sz w:val="22"/>
          <w:szCs w:val="20"/>
        </w:rPr>
      </w:pPr>
      <w:r w:rsidRPr="00DE222E">
        <w:rPr>
          <w:rStyle w:val="fontstyle21"/>
          <w:rFonts w:asciiTheme="minorHAnsi" w:hAnsiTheme="minorHAnsi" w:cstheme="minorHAnsi"/>
          <w:sz w:val="22"/>
          <w:szCs w:val="20"/>
        </w:rPr>
        <w:t>Okres obowiązywania Procedury Windykacyjnej</w:t>
      </w:r>
    </w:p>
    <w:p w14:paraId="1C46C8C0" w14:textId="11DA6CE8"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t>Niniejsza Procedura Windykacyjna obowiązuje przez czas niezbędny do przeprowadzenia przez Pośrednika Finansowego w pełnym zakresie wszelkich czynności koniecznych do wyegzekwowania Wierzytelności Menadżera w pełnej wysokości.</w:t>
      </w:r>
    </w:p>
    <w:p w14:paraId="0390C033" w14:textId="287C8F20" w:rsidR="00DE222E" w:rsidRDefault="00DE222E" w:rsidP="00DE222E">
      <w:pPr>
        <w:pStyle w:val="Akapitzlist"/>
        <w:numPr>
          <w:ilvl w:val="1"/>
          <w:numId w:val="40"/>
        </w:numPr>
        <w:jc w:val="both"/>
        <w:rPr>
          <w:rStyle w:val="fontstyle21"/>
          <w:rFonts w:asciiTheme="minorHAnsi" w:hAnsiTheme="minorHAnsi" w:cstheme="minorHAnsi"/>
          <w:b w:val="0"/>
          <w:sz w:val="22"/>
          <w:szCs w:val="20"/>
        </w:rPr>
      </w:pPr>
      <w:r w:rsidRPr="00DE222E">
        <w:rPr>
          <w:rStyle w:val="fontstyle21"/>
          <w:rFonts w:asciiTheme="minorHAnsi" w:hAnsiTheme="minorHAnsi" w:cstheme="minorHAnsi"/>
          <w:b w:val="0"/>
          <w:sz w:val="22"/>
          <w:szCs w:val="20"/>
        </w:rPr>
        <w:lastRenderedPageBreak/>
        <w:t>Menadżer może zrezygnować z usług Pośrednika Finansowego w ramach niniejszej Procedury Windykacyjnej ze skutkiem natychmiastowym w przypadku naruszenia jej postanowień przez Pośrednika Finansowego lub w przypadku podjęcia decyzji o rezygnacji z usług Pośrednika Finansowego bez względu na fakt ewentualnego naruszenia postanowień niniejszej Procedury Windykacyjnej. W takim przypadku Pośrednik Finansowy zobowiązany jest do niezwłocznego zwrotu na rzecz Menadżera w oryginałach wszelkich dokumentów źródłowych związanych z dochodzonymi Wierzytelnościami, w tym w szczególności ewentualnych orzeczeń sądowych</w:t>
      </w:r>
      <w:r>
        <w:rPr>
          <w:rStyle w:val="fontstyle21"/>
          <w:rFonts w:asciiTheme="minorHAnsi" w:hAnsiTheme="minorHAnsi" w:cstheme="minorHAnsi"/>
          <w:b w:val="0"/>
          <w:sz w:val="22"/>
          <w:szCs w:val="20"/>
        </w:rPr>
        <w:t xml:space="preserve"> </w:t>
      </w:r>
      <w:r w:rsidRPr="00DE222E">
        <w:rPr>
          <w:rStyle w:val="fontstyle21"/>
          <w:rFonts w:asciiTheme="minorHAnsi" w:hAnsiTheme="minorHAnsi" w:cstheme="minorHAnsi"/>
          <w:b w:val="0"/>
          <w:sz w:val="22"/>
          <w:szCs w:val="20"/>
        </w:rPr>
        <w:t>wydanych na rzecz Menadżera, a także przekazania pisemnego sprawozdania z przeprowadzonych czynności windykacyjnych.</w:t>
      </w:r>
    </w:p>
    <w:p w14:paraId="4D8B88E1" w14:textId="62C49C38" w:rsidR="00DE222E" w:rsidRDefault="00DE222E" w:rsidP="00DE222E">
      <w:pPr>
        <w:pStyle w:val="Akapitzlist"/>
        <w:numPr>
          <w:ilvl w:val="0"/>
          <w:numId w:val="40"/>
        </w:numPr>
        <w:jc w:val="both"/>
        <w:rPr>
          <w:rStyle w:val="fontstyle21"/>
          <w:rFonts w:asciiTheme="minorHAnsi" w:hAnsiTheme="minorHAnsi" w:cstheme="minorHAnsi"/>
          <w:sz w:val="22"/>
          <w:szCs w:val="20"/>
        </w:rPr>
      </w:pPr>
      <w:r w:rsidRPr="00DE222E">
        <w:rPr>
          <w:rStyle w:val="fontstyle21"/>
          <w:rFonts w:asciiTheme="minorHAnsi" w:hAnsiTheme="minorHAnsi" w:cstheme="minorHAnsi"/>
          <w:sz w:val="22"/>
          <w:szCs w:val="20"/>
        </w:rPr>
        <w:t>Zakończenie czynności windykacyjnych</w:t>
      </w:r>
    </w:p>
    <w:p w14:paraId="1CA1AADC" w14:textId="2D7180C9" w:rsidR="00DE222E"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Zakończenie czynności windykacyjnych następuje w przypadku wystąpienia jednej z poniższych okoliczności:</w:t>
      </w:r>
    </w:p>
    <w:p w14:paraId="76667615" w14:textId="7899F06A" w:rsidR="009612F0" w:rsidRDefault="009612F0" w:rsidP="009612F0">
      <w:pPr>
        <w:pStyle w:val="Akapitzlist"/>
        <w:numPr>
          <w:ilvl w:val="2"/>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pełnego zaspokojenia Wierzytelności</w:t>
      </w:r>
    </w:p>
    <w:p w14:paraId="44A9176E" w14:textId="77EBA516" w:rsidR="009612F0" w:rsidRDefault="009612F0" w:rsidP="009612F0">
      <w:pPr>
        <w:pStyle w:val="Akapitzlist"/>
        <w:numPr>
          <w:ilvl w:val="2"/>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braku możliwości skutecznego dochodzenia Wierzytelności od Ostatecznego Odbiorcy i pozostałych zobowiązanych, w tym braku możliwości wyegzekwowania Wierzytelności w wyniku realizacji prawnych zabezpieczeń ustanowionych przez Ostatecznego Odbiorcę i pozostałych zobowiązanych</w:t>
      </w:r>
    </w:p>
    <w:p w14:paraId="262939D3" w14:textId="626A3D2E" w:rsidR="009612F0" w:rsidRDefault="009612F0" w:rsidP="009612F0">
      <w:pPr>
        <w:pStyle w:val="Akapitzlist"/>
        <w:numPr>
          <w:ilvl w:val="2"/>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koszty związane z dochodzeniem Wierzytelności przewyższą kwotę dochodzonej Wierzytelności, a z analizy sporządzonej przez Pośrednika Finansowego wynika, że podjęcie czynności windykacyjnych nie będzie skutkowało zaspokojeniem Wierzytelności</w:t>
      </w:r>
    </w:p>
    <w:p w14:paraId="20BA0333" w14:textId="0F409794"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W przypadku, gdy w danej Jednostkowej Pożyczce oprócz Ostatecznego Odbiorcy występują inni zobowiązani, postanowienia pkt 9.1. stosuje się odpowiednio również wobec pozostałych zobowiązanych.</w:t>
      </w:r>
    </w:p>
    <w:p w14:paraId="3C03B7E5" w14:textId="0A20AA0D"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Zakończenie czynności windykacyjnych musi zostać potwierdzone stosownymi dokumentami w oryginale lub kopii potwierdzonej za zgodność z oryginałem przez Pośrednika Finansowego.</w:t>
      </w:r>
    </w:p>
    <w:p w14:paraId="22287BAF" w14:textId="2EAA9314"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W przypadku wystąpienia przesłanek uzasadniających zakończenie czynności windykacyjnych, Pośrednik Finansowy zobowiązany jest sporządzić, przy wykorzystaniu aplikacji sprawozdawczej udostępnionej przez Menadżera, protokół zawierający uzasadnienie zakończenia czynności windykacyjnych. Do protokołu Pośrednik Finansowy jest zobowiązany dołączyć stosowne dokumenty, w tym potwierdzające zakończenie czynności windykacyjnych, w oryginale lub kopii potwierdzonej za zgodność z oryginałem.</w:t>
      </w:r>
    </w:p>
    <w:p w14:paraId="60D9268D" w14:textId="3F67C458"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W oparciu o protokół oraz załączone dokumenty, Menadżer podejmuje decyzję w zakresie dalszego postępowania co do danej Wierzytelności.</w:t>
      </w:r>
    </w:p>
    <w:p w14:paraId="0AE44BBF" w14:textId="659884E9" w:rsidR="009612F0" w:rsidRPr="009612F0" w:rsidRDefault="009612F0" w:rsidP="009612F0">
      <w:pPr>
        <w:pStyle w:val="Akapitzlist"/>
        <w:numPr>
          <w:ilvl w:val="0"/>
          <w:numId w:val="40"/>
        </w:numPr>
        <w:jc w:val="both"/>
        <w:rPr>
          <w:rStyle w:val="fontstyle21"/>
          <w:rFonts w:asciiTheme="minorHAnsi" w:hAnsiTheme="minorHAnsi" w:cstheme="minorHAnsi"/>
          <w:sz w:val="22"/>
          <w:szCs w:val="20"/>
        </w:rPr>
      </w:pPr>
      <w:r w:rsidRPr="009612F0">
        <w:rPr>
          <w:rStyle w:val="fontstyle21"/>
          <w:rFonts w:asciiTheme="minorHAnsi" w:hAnsiTheme="minorHAnsi" w:cstheme="minorHAnsi"/>
          <w:sz w:val="22"/>
          <w:szCs w:val="20"/>
        </w:rPr>
        <w:t>Postanowienia końcowe</w:t>
      </w:r>
    </w:p>
    <w:p w14:paraId="272FBB55" w14:textId="48026920"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Zobowiązania Pośrednika Finansowego wynikające z niniejszej Procedury Windykacyjnej pozostają w mocy także po wygaśnięciu lub rozwiązaniu Umowy. Przedmiotowe zobowiązania wygasną z dniem wygaśnięcia wszelkich zobowiązań Pośrednika Finansowego wynikających z Umowy zgodnie z jej odpowiednimi postanowieniami.</w:t>
      </w:r>
    </w:p>
    <w:p w14:paraId="1F87D9FA" w14:textId="3DBA2F31"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Wszelkie kwestie związane z dochodzeniem Wierzytelności niezawarte w niniejszej Procedurze Windykacyjnej oraz wszelkie wątpliwości związane z realizacją niniejszej Procedury Windykacyjnej, będą na bieżąco rozwiązywane polubownie w drodze konsultacji i uzgodnień pomiędzy Menadżerem a Pośrednikiem Finansowym.</w:t>
      </w:r>
    </w:p>
    <w:p w14:paraId="2AB142EB" w14:textId="612F99EB" w:rsid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Niniejsza Procedura Windykacyjna nie narusza zobowiązań Pośrednika Finansowego wynikających z Umowy, ani wynikających z niej uprawnień Menadżera.</w:t>
      </w:r>
    </w:p>
    <w:p w14:paraId="7A30AA67" w14:textId="736EF1A6" w:rsidR="009612F0" w:rsidRPr="009612F0" w:rsidRDefault="009612F0" w:rsidP="009612F0">
      <w:pPr>
        <w:pStyle w:val="Akapitzlist"/>
        <w:numPr>
          <w:ilvl w:val="1"/>
          <w:numId w:val="40"/>
        </w:numPr>
        <w:jc w:val="both"/>
        <w:rPr>
          <w:rStyle w:val="fontstyle21"/>
          <w:rFonts w:asciiTheme="minorHAnsi" w:hAnsiTheme="minorHAnsi" w:cstheme="minorHAnsi"/>
          <w:b w:val="0"/>
          <w:sz w:val="22"/>
          <w:szCs w:val="20"/>
        </w:rPr>
      </w:pPr>
      <w:r w:rsidRPr="009612F0">
        <w:rPr>
          <w:rStyle w:val="fontstyle21"/>
          <w:rFonts w:asciiTheme="minorHAnsi" w:hAnsiTheme="minorHAnsi" w:cstheme="minorHAnsi"/>
          <w:b w:val="0"/>
          <w:sz w:val="22"/>
          <w:szCs w:val="20"/>
        </w:rPr>
        <w:t>W sprawach nieuregulowanych w niniejszych Procedury Windykacyjnej mają zastosowanie postanowienia Umowy.</w:t>
      </w:r>
    </w:p>
    <w:sectPr w:rsidR="009612F0" w:rsidRPr="009612F0" w:rsidSect="00D565D0">
      <w:headerReference w:type="default" r:id="rId9"/>
      <w:footerReference w:type="default" r:id="rId10"/>
      <w:pgSz w:w="11906" w:h="16838"/>
      <w:pgMar w:top="1276" w:right="1417" w:bottom="1843"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FF3AB0" w:rsidRDefault="00FF3AB0" w:rsidP="00451C27">
      <w:r>
        <w:separator/>
      </w:r>
    </w:p>
  </w:endnote>
  <w:endnote w:type="continuationSeparator" w:id="0">
    <w:p w14:paraId="7756B538" w14:textId="77777777" w:rsidR="00FF3AB0" w:rsidRDefault="00FF3AB0"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FF3AB0" w:rsidRDefault="00FF3AB0" w:rsidP="00D565D0">
    <w:pPr>
      <w:pStyle w:val="Stopka"/>
      <w:ind w:left="-284"/>
      <w:jc w:val="right"/>
    </w:pPr>
    <w:r>
      <w:rPr>
        <w:rFonts w:cs="Calibri"/>
        <w:noProof/>
      </w:rPr>
      <w:drawing>
        <wp:inline distT="0" distB="0" distL="0" distR="0" wp14:anchorId="6C24523E" wp14:editId="4874104E">
          <wp:extent cx="6261100" cy="567304"/>
          <wp:effectExtent l="0" t="0" r="6350" b="4445"/>
          <wp:docPr id="42" name="Obraz 42"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54662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FF3AB0" w:rsidRDefault="00FF3AB0" w:rsidP="00451C27">
      <w:r>
        <w:separator/>
      </w:r>
    </w:p>
  </w:footnote>
  <w:footnote w:type="continuationSeparator" w:id="0">
    <w:p w14:paraId="071507CF" w14:textId="77777777" w:rsidR="00FF3AB0" w:rsidRDefault="00FF3AB0" w:rsidP="0045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66532626" w:rsidR="00FF3AB0" w:rsidRDefault="0054662A">
    <w:pPr>
      <w:pStyle w:val="Nagwek"/>
    </w:pPr>
    <w:r>
      <w:rPr>
        <w:noProof/>
      </w:rPr>
      <w:drawing>
        <wp:inline distT="0" distB="0" distL="0" distR="0" wp14:anchorId="1EEB63D6" wp14:editId="2E587F67">
          <wp:extent cx="5760720" cy="545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E4222"/>
    <w:multiLevelType w:val="multilevel"/>
    <w:tmpl w:val="E326A3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0C426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D0B4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77393D"/>
    <w:multiLevelType w:val="hybridMultilevel"/>
    <w:tmpl w:val="25024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57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ED220C"/>
    <w:multiLevelType w:val="hybridMultilevel"/>
    <w:tmpl w:val="9BB8510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0044C"/>
    <w:multiLevelType w:val="hybridMultilevel"/>
    <w:tmpl w:val="6432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DE7AFE"/>
    <w:multiLevelType w:val="hybridMultilevel"/>
    <w:tmpl w:val="536EFCA8"/>
    <w:lvl w:ilvl="0" w:tplc="5A8C3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ED70DF"/>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nsid w:val="1D656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nsid w:val="26FE1D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nsid w:val="2EF773B5"/>
    <w:multiLevelType w:val="multilevel"/>
    <w:tmpl w:val="E6CE00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A34322"/>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A162A4B"/>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0">
    <w:nsid w:val="3EBC6D1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06BB4"/>
    <w:multiLevelType w:val="hybridMultilevel"/>
    <w:tmpl w:val="30EA007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2">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nsid w:val="47FE2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526C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554AB1"/>
    <w:multiLevelType w:val="hybridMultilevel"/>
    <w:tmpl w:val="2452A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079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C67D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1A6CB8"/>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nsid w:val="5BCA2F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nsid w:val="720E5D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EF62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D64A4E"/>
    <w:multiLevelType w:val="hybridMultilevel"/>
    <w:tmpl w:val="7D78F510"/>
    <w:lvl w:ilvl="0" w:tplc="64D258F0">
      <w:start w:val="1"/>
      <w:numFmt w:val="upperRoman"/>
      <w:lvlText w:val="%1."/>
      <w:lvlJc w:val="left"/>
      <w:pPr>
        <w:ind w:left="1080" w:hanging="720"/>
      </w:pPr>
      <w:rPr>
        <w:rFonts w:cstheme="minorHAnsi"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C32F2B"/>
    <w:multiLevelType w:val="hybridMultilevel"/>
    <w:tmpl w:val="A1780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006D6"/>
    <w:multiLevelType w:val="multilevel"/>
    <w:tmpl w:val="4ADC54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22"/>
  </w:num>
  <w:num w:numId="3">
    <w:abstractNumId w:val="39"/>
  </w:num>
  <w:num w:numId="4">
    <w:abstractNumId w:val="12"/>
  </w:num>
  <w:num w:numId="5">
    <w:abstractNumId w:val="32"/>
  </w:num>
  <w:num w:numId="6">
    <w:abstractNumId w:val="15"/>
  </w:num>
  <w:num w:numId="7">
    <w:abstractNumId w:val="2"/>
  </w:num>
  <w:num w:numId="8">
    <w:abstractNumId w:val="30"/>
  </w:num>
  <w:num w:numId="9">
    <w:abstractNumId w:val="14"/>
  </w:num>
  <w:num w:numId="10">
    <w:abstractNumId w:val="18"/>
  </w:num>
  <w:num w:numId="11">
    <w:abstractNumId w:val="4"/>
  </w:num>
  <w:num w:numId="12">
    <w:abstractNumId w:val="5"/>
  </w:num>
  <w:num w:numId="13">
    <w:abstractNumId w:val="21"/>
  </w:num>
  <w:num w:numId="14">
    <w:abstractNumId w:val="35"/>
  </w:num>
  <w:num w:numId="15">
    <w:abstractNumId w:val="37"/>
  </w:num>
  <w:num w:numId="16">
    <w:abstractNumId w:val="9"/>
  </w:num>
  <w:num w:numId="17">
    <w:abstractNumId w:val="19"/>
  </w:num>
  <w:num w:numId="18">
    <w:abstractNumId w:val="17"/>
  </w:num>
  <w:num w:numId="19">
    <w:abstractNumId w:val="10"/>
  </w:num>
  <w:num w:numId="20">
    <w:abstractNumId w:val="29"/>
  </w:num>
  <w:num w:numId="21">
    <w:abstractNumId w:val="20"/>
  </w:num>
  <w:num w:numId="22">
    <w:abstractNumId w:val="8"/>
  </w:num>
  <w:num w:numId="23">
    <w:abstractNumId w:val="16"/>
  </w:num>
  <w:num w:numId="24">
    <w:abstractNumId w:val="1"/>
  </w:num>
  <w:num w:numId="25">
    <w:abstractNumId w:val="38"/>
  </w:num>
  <w:num w:numId="26">
    <w:abstractNumId w:val="24"/>
  </w:num>
  <w:num w:numId="27">
    <w:abstractNumId w:val="31"/>
  </w:num>
  <w:num w:numId="28">
    <w:abstractNumId w:val="28"/>
  </w:num>
  <w:num w:numId="29">
    <w:abstractNumId w:val="13"/>
  </w:num>
  <w:num w:numId="30">
    <w:abstractNumId w:val="33"/>
  </w:num>
  <w:num w:numId="31">
    <w:abstractNumId w:val="25"/>
  </w:num>
  <w:num w:numId="32">
    <w:abstractNumId w:val="34"/>
  </w:num>
  <w:num w:numId="33">
    <w:abstractNumId w:val="6"/>
  </w:num>
  <w:num w:numId="34">
    <w:abstractNumId w:val="11"/>
  </w:num>
  <w:num w:numId="35">
    <w:abstractNumId w:val="3"/>
  </w:num>
  <w:num w:numId="36">
    <w:abstractNumId w:val="27"/>
  </w:num>
  <w:num w:numId="37">
    <w:abstractNumId w:val="26"/>
  </w:num>
  <w:num w:numId="38">
    <w:abstractNumId w:val="36"/>
  </w:num>
  <w:num w:numId="39">
    <w:abstractNumId w:val="7"/>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74158"/>
    <w:rsid w:val="00080AC7"/>
    <w:rsid w:val="000A0517"/>
    <w:rsid w:val="000A4597"/>
    <w:rsid w:val="000F5DEC"/>
    <w:rsid w:val="001028D0"/>
    <w:rsid w:val="00130067"/>
    <w:rsid w:val="00167E58"/>
    <w:rsid w:val="00185C1B"/>
    <w:rsid w:val="001C635D"/>
    <w:rsid w:val="001D7924"/>
    <w:rsid w:val="001E27D3"/>
    <w:rsid w:val="001F361B"/>
    <w:rsid w:val="00215D0D"/>
    <w:rsid w:val="00221BE3"/>
    <w:rsid w:val="0025308F"/>
    <w:rsid w:val="00273181"/>
    <w:rsid w:val="00273273"/>
    <w:rsid w:val="00280341"/>
    <w:rsid w:val="002B6AE9"/>
    <w:rsid w:val="002C1E78"/>
    <w:rsid w:val="002D2190"/>
    <w:rsid w:val="002D22D0"/>
    <w:rsid w:val="002E633E"/>
    <w:rsid w:val="003139A1"/>
    <w:rsid w:val="00325FA4"/>
    <w:rsid w:val="00330B94"/>
    <w:rsid w:val="003320B2"/>
    <w:rsid w:val="00366FDB"/>
    <w:rsid w:val="003839F8"/>
    <w:rsid w:val="003879A1"/>
    <w:rsid w:val="003C4F74"/>
    <w:rsid w:val="003C5A90"/>
    <w:rsid w:val="004140F7"/>
    <w:rsid w:val="0043798F"/>
    <w:rsid w:val="00451C27"/>
    <w:rsid w:val="004757D0"/>
    <w:rsid w:val="00492351"/>
    <w:rsid w:val="004A1E52"/>
    <w:rsid w:val="004A2115"/>
    <w:rsid w:val="004E21F9"/>
    <w:rsid w:val="004E5750"/>
    <w:rsid w:val="004F0E28"/>
    <w:rsid w:val="004F4886"/>
    <w:rsid w:val="004F71BA"/>
    <w:rsid w:val="00503360"/>
    <w:rsid w:val="00512629"/>
    <w:rsid w:val="00517407"/>
    <w:rsid w:val="005230A6"/>
    <w:rsid w:val="005273E0"/>
    <w:rsid w:val="00532170"/>
    <w:rsid w:val="00543A15"/>
    <w:rsid w:val="0054662A"/>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4B4A"/>
    <w:rsid w:val="00716CC2"/>
    <w:rsid w:val="00723346"/>
    <w:rsid w:val="0073315A"/>
    <w:rsid w:val="007635F1"/>
    <w:rsid w:val="00784A45"/>
    <w:rsid w:val="00787F82"/>
    <w:rsid w:val="007B7BC6"/>
    <w:rsid w:val="007F0DE0"/>
    <w:rsid w:val="007F2639"/>
    <w:rsid w:val="007F464D"/>
    <w:rsid w:val="00810351"/>
    <w:rsid w:val="008534A7"/>
    <w:rsid w:val="008617AF"/>
    <w:rsid w:val="0086584D"/>
    <w:rsid w:val="00875B81"/>
    <w:rsid w:val="00891763"/>
    <w:rsid w:val="008C25E1"/>
    <w:rsid w:val="008D2911"/>
    <w:rsid w:val="008E1777"/>
    <w:rsid w:val="008E5AD8"/>
    <w:rsid w:val="008F0D4F"/>
    <w:rsid w:val="00902102"/>
    <w:rsid w:val="009210C1"/>
    <w:rsid w:val="00940C2A"/>
    <w:rsid w:val="00953A4C"/>
    <w:rsid w:val="00954997"/>
    <w:rsid w:val="009612F0"/>
    <w:rsid w:val="00966C46"/>
    <w:rsid w:val="00972271"/>
    <w:rsid w:val="0098170F"/>
    <w:rsid w:val="009943C5"/>
    <w:rsid w:val="009A2FA3"/>
    <w:rsid w:val="009E7EB0"/>
    <w:rsid w:val="00A01DDF"/>
    <w:rsid w:val="00A056DF"/>
    <w:rsid w:val="00A43E90"/>
    <w:rsid w:val="00A66945"/>
    <w:rsid w:val="00A81922"/>
    <w:rsid w:val="00A86D16"/>
    <w:rsid w:val="00A94187"/>
    <w:rsid w:val="00A9466A"/>
    <w:rsid w:val="00AC7EE4"/>
    <w:rsid w:val="00AE7FA4"/>
    <w:rsid w:val="00B01200"/>
    <w:rsid w:val="00B43955"/>
    <w:rsid w:val="00B913ED"/>
    <w:rsid w:val="00B96B7E"/>
    <w:rsid w:val="00B96E01"/>
    <w:rsid w:val="00BB6676"/>
    <w:rsid w:val="00BC2EC8"/>
    <w:rsid w:val="00BD51FA"/>
    <w:rsid w:val="00BF5EA4"/>
    <w:rsid w:val="00C0145F"/>
    <w:rsid w:val="00C0283C"/>
    <w:rsid w:val="00C0355B"/>
    <w:rsid w:val="00C12B68"/>
    <w:rsid w:val="00C47A32"/>
    <w:rsid w:val="00C63DB7"/>
    <w:rsid w:val="00C64D1F"/>
    <w:rsid w:val="00C90177"/>
    <w:rsid w:val="00C907D0"/>
    <w:rsid w:val="00CA35D9"/>
    <w:rsid w:val="00CA65AA"/>
    <w:rsid w:val="00CA6E4A"/>
    <w:rsid w:val="00CD65C4"/>
    <w:rsid w:val="00CE1E7B"/>
    <w:rsid w:val="00CE5840"/>
    <w:rsid w:val="00CF49D3"/>
    <w:rsid w:val="00D005BB"/>
    <w:rsid w:val="00D20E8B"/>
    <w:rsid w:val="00D408BC"/>
    <w:rsid w:val="00D43A58"/>
    <w:rsid w:val="00D55DF6"/>
    <w:rsid w:val="00D565D0"/>
    <w:rsid w:val="00D663DB"/>
    <w:rsid w:val="00D83B0C"/>
    <w:rsid w:val="00D97069"/>
    <w:rsid w:val="00DA182D"/>
    <w:rsid w:val="00DA65C0"/>
    <w:rsid w:val="00DA7FD6"/>
    <w:rsid w:val="00DC3B35"/>
    <w:rsid w:val="00DE222E"/>
    <w:rsid w:val="00DE54F2"/>
    <w:rsid w:val="00E05BCF"/>
    <w:rsid w:val="00E07A92"/>
    <w:rsid w:val="00E87800"/>
    <w:rsid w:val="00E87B31"/>
    <w:rsid w:val="00E87E19"/>
    <w:rsid w:val="00E93E49"/>
    <w:rsid w:val="00EB633C"/>
    <w:rsid w:val="00ED1A3A"/>
    <w:rsid w:val="00F07875"/>
    <w:rsid w:val="00F14938"/>
    <w:rsid w:val="00F27A27"/>
    <w:rsid w:val="00F40687"/>
    <w:rsid w:val="00F60CC1"/>
    <w:rsid w:val="00F63FDD"/>
    <w:rsid w:val="00F67E48"/>
    <w:rsid w:val="00F8172A"/>
    <w:rsid w:val="00F86662"/>
    <w:rsid w:val="00F92D45"/>
    <w:rsid w:val="00F94674"/>
    <w:rsid w:val="00F94DA6"/>
    <w:rsid w:val="00FA7E2F"/>
    <w:rsid w:val="00FE2A60"/>
    <w:rsid w:val="00FF311D"/>
    <w:rsid w:val="00FF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51C27"/>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451C27"/>
    <w:rPr>
      <w:sz w:val="20"/>
      <w:szCs w:val="20"/>
    </w:rPr>
  </w:style>
  <w:style w:type="character" w:styleId="Odwoanieprzypisudolnego">
    <w:name w:val="footnote reference"/>
    <w:basedOn w:val="Domylnaczcionkaakapitu"/>
    <w:uiPriority w:val="99"/>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 w:type="table" w:styleId="Jasnasiatkaakcent3">
    <w:name w:val="Light Grid Accent 3"/>
    <w:basedOn w:val="Standardowy"/>
    <w:uiPriority w:val="62"/>
    <w:rsid w:val="004F71B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odstpw">
    <w:name w:val="No Spacing"/>
    <w:uiPriority w:val="1"/>
    <w:qFormat/>
    <w:rsid w:val="004F71B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4F71BA"/>
    <w:rPr>
      <w:b/>
      <w:bCs/>
    </w:rPr>
  </w:style>
  <w:style w:type="table" w:styleId="Jasnecieniowanieakcent3">
    <w:name w:val="Light Shading Accent 3"/>
    <w:basedOn w:val="Standardowy"/>
    <w:uiPriority w:val="60"/>
    <w:rsid w:val="004F71BA"/>
    <w:pPr>
      <w:spacing w:after="0" w:line="240" w:lineRule="auto"/>
    </w:pPr>
    <w:rPr>
      <w:rFonts w:ascii="Times New Roman" w:eastAsia="Times New Roman" w:hAnsi="Times New Roman"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21">
    <w:name w:val="fontstyle21"/>
    <w:basedOn w:val="Domylnaczcionkaakapitu"/>
    <w:rsid w:val="00273273"/>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27327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51C27"/>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451C27"/>
    <w:rPr>
      <w:sz w:val="20"/>
      <w:szCs w:val="20"/>
    </w:rPr>
  </w:style>
  <w:style w:type="character" w:styleId="Odwoanieprzypisudolnego">
    <w:name w:val="footnote reference"/>
    <w:basedOn w:val="Domylnaczcionkaakapitu"/>
    <w:uiPriority w:val="99"/>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 w:type="table" w:styleId="Jasnasiatkaakcent3">
    <w:name w:val="Light Grid Accent 3"/>
    <w:basedOn w:val="Standardowy"/>
    <w:uiPriority w:val="62"/>
    <w:rsid w:val="004F71B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odstpw">
    <w:name w:val="No Spacing"/>
    <w:uiPriority w:val="1"/>
    <w:qFormat/>
    <w:rsid w:val="004F71B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4F71BA"/>
    <w:rPr>
      <w:b/>
      <w:bCs/>
    </w:rPr>
  </w:style>
  <w:style w:type="table" w:styleId="Jasnecieniowanieakcent3">
    <w:name w:val="Light Shading Accent 3"/>
    <w:basedOn w:val="Standardowy"/>
    <w:uiPriority w:val="60"/>
    <w:rsid w:val="004F71BA"/>
    <w:pPr>
      <w:spacing w:after="0" w:line="240" w:lineRule="auto"/>
    </w:pPr>
    <w:rPr>
      <w:rFonts w:ascii="Times New Roman" w:eastAsia="Times New Roman" w:hAnsi="Times New Roman"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21">
    <w:name w:val="fontstyle21"/>
    <w:basedOn w:val="Domylnaczcionkaakapitu"/>
    <w:rsid w:val="00273273"/>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27327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 w:id="1188909424">
      <w:bodyDiv w:val="1"/>
      <w:marLeft w:val="0"/>
      <w:marRight w:val="0"/>
      <w:marTop w:val="0"/>
      <w:marBottom w:val="0"/>
      <w:divBdr>
        <w:top w:val="none" w:sz="0" w:space="0" w:color="auto"/>
        <w:left w:val="none" w:sz="0" w:space="0" w:color="auto"/>
        <w:bottom w:val="none" w:sz="0" w:space="0" w:color="auto"/>
        <w:right w:val="none" w:sz="0" w:space="0" w:color="auto"/>
      </w:divBdr>
    </w:div>
    <w:div w:id="17860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6C00-F814-4331-AB52-445D383B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3115</Words>
  <Characters>18692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Użytkownik systemu Windows</cp:lastModifiedBy>
  <cp:revision>4</cp:revision>
  <dcterms:created xsi:type="dcterms:W3CDTF">2020-10-05T11:55:00Z</dcterms:created>
  <dcterms:modified xsi:type="dcterms:W3CDTF">2020-10-06T08:38:00Z</dcterms:modified>
</cp:coreProperties>
</file>